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83D2" w14:textId="067BA834" w:rsidR="00266A3F" w:rsidRPr="00961931" w:rsidRDefault="00266A3F" w:rsidP="00266A3F">
      <w:pPr>
        <w:jc w:val="both"/>
        <w:rPr>
          <w:rFonts w:ascii="Gadugi" w:hAnsi="Gadugi"/>
          <w:b/>
          <w:bCs/>
          <w:sz w:val="36"/>
          <w:szCs w:val="28"/>
        </w:rPr>
      </w:pPr>
      <w:r w:rsidRPr="00961931">
        <w:rPr>
          <w:rFonts w:ascii="Gadugi" w:hAnsi="Gadugi"/>
          <w:b/>
          <w:bCs/>
          <w:sz w:val="36"/>
          <w:szCs w:val="28"/>
        </w:rPr>
        <w:t xml:space="preserve">Nous sommes tous des disciples missionnaires </w:t>
      </w:r>
    </w:p>
    <w:p w14:paraId="50F0864B" w14:textId="378F6216" w:rsidR="00652673" w:rsidRPr="00961931" w:rsidRDefault="00652673" w:rsidP="00652673">
      <w:pPr>
        <w:ind w:left="1416" w:firstLine="708"/>
        <w:jc w:val="both"/>
        <w:rPr>
          <w:rFonts w:ascii="Gadugi" w:hAnsi="Gadugi"/>
          <w:sz w:val="26"/>
          <w:szCs w:val="26"/>
        </w:rPr>
      </w:pPr>
      <w:r w:rsidRPr="00961931">
        <w:rPr>
          <w:rFonts w:ascii="Gadugi" w:hAnsi="Gadugi"/>
          <w:sz w:val="26"/>
          <w:szCs w:val="26"/>
        </w:rPr>
        <w:t>Pape François - Exhortation Apostolique : La joie de l'Evangile.</w:t>
      </w:r>
    </w:p>
    <w:p w14:paraId="6B4E6464" w14:textId="77777777" w:rsidR="00652673" w:rsidRPr="00961931" w:rsidRDefault="00652673" w:rsidP="00266A3F">
      <w:pPr>
        <w:jc w:val="both"/>
        <w:rPr>
          <w:rFonts w:ascii="Gadugi" w:hAnsi="Gadugi"/>
          <w:b/>
          <w:bCs/>
          <w:sz w:val="26"/>
          <w:szCs w:val="26"/>
        </w:rPr>
      </w:pPr>
    </w:p>
    <w:p w14:paraId="724DB82B" w14:textId="12B2AAC8" w:rsidR="00266A3F" w:rsidRPr="00961931" w:rsidRDefault="00266A3F" w:rsidP="00961931">
      <w:pPr>
        <w:spacing w:line="300" w:lineRule="auto"/>
        <w:jc w:val="both"/>
        <w:rPr>
          <w:rFonts w:ascii="Gadugi" w:hAnsi="Gadugi"/>
          <w:sz w:val="26"/>
          <w:szCs w:val="26"/>
        </w:rPr>
      </w:pPr>
      <w:r w:rsidRPr="00961931">
        <w:rPr>
          <w:rFonts w:ascii="Gadugi" w:hAnsi="Gadugi"/>
          <w:b/>
          <w:bCs/>
          <w:sz w:val="26"/>
          <w:szCs w:val="26"/>
        </w:rPr>
        <w:t>119.</w:t>
      </w:r>
      <w:r w:rsidRPr="00961931">
        <w:rPr>
          <w:rFonts w:ascii="Gadugi" w:hAnsi="Gadugi"/>
          <w:sz w:val="26"/>
          <w:szCs w:val="26"/>
        </w:rPr>
        <w:t xml:space="preserve"> Dans tous les baptisés, du premier au dernier, agit la force sanctificatrice de l’Esprit qui incite à évangéliser. Le Peuple de Dieu est saint à cause de cette onction que le rend </w:t>
      </w:r>
      <w:r w:rsidRPr="005C49A9">
        <w:rPr>
          <w:rFonts w:ascii="Gadugi" w:hAnsi="Gadugi"/>
          <w:i/>
          <w:sz w:val="26"/>
          <w:szCs w:val="26"/>
        </w:rPr>
        <w:t xml:space="preserve">infaillible “in </w:t>
      </w:r>
      <w:proofErr w:type="spellStart"/>
      <w:r w:rsidRPr="005C49A9">
        <w:rPr>
          <w:rFonts w:ascii="Gadugi" w:hAnsi="Gadugi"/>
          <w:i/>
          <w:sz w:val="26"/>
          <w:szCs w:val="26"/>
        </w:rPr>
        <w:t>credendo</w:t>
      </w:r>
      <w:proofErr w:type="spellEnd"/>
      <w:r w:rsidRPr="005C49A9">
        <w:rPr>
          <w:rFonts w:ascii="Gadugi" w:hAnsi="Gadugi"/>
          <w:i/>
          <w:sz w:val="26"/>
          <w:szCs w:val="26"/>
        </w:rPr>
        <w:t>”.</w:t>
      </w:r>
      <w:r w:rsidRPr="00961931">
        <w:rPr>
          <w:rFonts w:ascii="Gadugi" w:hAnsi="Gadugi"/>
          <w:sz w:val="26"/>
          <w:szCs w:val="26"/>
        </w:rPr>
        <w:t xml:space="preserve"> Cela signifie que quand il croit il ne se trompe pas, même s’il ne trouve pas les paroles pour exprimer sa foi. L’Esprit le guide dans la vérité et le conduit au salut. Comme faisant partie de son mystère d’amour pour l’humanité, Dieu dote la totalité des fidèles d’un </w:t>
      </w:r>
      <w:r w:rsidRPr="005C49A9">
        <w:rPr>
          <w:rFonts w:ascii="Gadugi" w:hAnsi="Gadugi"/>
          <w:i/>
          <w:sz w:val="26"/>
          <w:szCs w:val="26"/>
        </w:rPr>
        <w:t xml:space="preserve">instinct de la foi – le </w:t>
      </w:r>
      <w:proofErr w:type="spellStart"/>
      <w:r w:rsidRPr="005C49A9">
        <w:rPr>
          <w:rFonts w:ascii="Gadugi" w:hAnsi="Gadugi"/>
          <w:i/>
          <w:sz w:val="26"/>
          <w:szCs w:val="26"/>
        </w:rPr>
        <w:t>sensus</w:t>
      </w:r>
      <w:proofErr w:type="spellEnd"/>
      <w:r w:rsidRPr="005C49A9">
        <w:rPr>
          <w:rFonts w:ascii="Gadugi" w:hAnsi="Gadugi"/>
          <w:i/>
          <w:sz w:val="26"/>
          <w:szCs w:val="26"/>
        </w:rPr>
        <w:t xml:space="preserve"> </w:t>
      </w:r>
      <w:proofErr w:type="spellStart"/>
      <w:r w:rsidRPr="005C49A9">
        <w:rPr>
          <w:rFonts w:ascii="Gadugi" w:hAnsi="Gadugi"/>
          <w:i/>
          <w:sz w:val="26"/>
          <w:szCs w:val="26"/>
        </w:rPr>
        <w:t>fidei</w:t>
      </w:r>
      <w:proofErr w:type="spellEnd"/>
      <w:r w:rsidRPr="00961931">
        <w:rPr>
          <w:rFonts w:ascii="Gadugi" w:hAnsi="Gadugi"/>
          <w:sz w:val="26"/>
          <w:szCs w:val="26"/>
        </w:rPr>
        <w:t xml:space="preserve"> – qui les aide à discerner ce qui vient réellement de Dieu. La présence de l’Esprit donne aux chrétiens une certaine connaturalité avec les réalités divines et une sagesse qui leur permet de les comprendre de manière intuitive, même s’ils ne disposent pas des moyens appropriés pour les exprimer avec précision. </w:t>
      </w:r>
    </w:p>
    <w:p w14:paraId="31931E66" w14:textId="7FA4A1A7" w:rsidR="000A632A" w:rsidRPr="00961931" w:rsidRDefault="00266A3F" w:rsidP="00961931">
      <w:pPr>
        <w:spacing w:line="300" w:lineRule="auto"/>
        <w:jc w:val="both"/>
        <w:rPr>
          <w:rFonts w:ascii="Gadugi" w:hAnsi="Gadugi"/>
          <w:sz w:val="26"/>
          <w:szCs w:val="26"/>
        </w:rPr>
      </w:pPr>
      <w:r w:rsidRPr="00961931">
        <w:rPr>
          <w:rFonts w:ascii="Gadugi" w:hAnsi="Gadugi"/>
          <w:b/>
          <w:bCs/>
          <w:sz w:val="26"/>
          <w:szCs w:val="26"/>
        </w:rPr>
        <w:t>120.</w:t>
      </w:r>
      <w:r w:rsidRPr="00961931">
        <w:rPr>
          <w:rFonts w:ascii="Gadugi" w:hAnsi="Gadugi"/>
          <w:sz w:val="26"/>
          <w:szCs w:val="26"/>
        </w:rPr>
        <w:t xml:space="preserve"> En vertu du Baptême reçu, chaque membre du Peuple de Dieu est devenu disciple missionnaire (cf. Mt 28, 19). Chaque baptisé, quelle que soit sa fonction dans l’Église et le niveau d’instruction de sa foi, est un sujet actif de l’évangélisation, et il serait inadéquat de penser à un schéma d’évangélisation utilisé pour des acteurs qualifiés, où le reste du peuple fidèle serait seulement destiné à bénéficier de leurs actions. La nouvelle évangélisation doit impliquer que chaque baptisé soit protagoniste d’une façon nouvelle. Cette conviction se transforme en un appel adressé à chaque chrétien, pour que personne ne renonce à son engagement pour l’évangélisation, car s’il a vraiment fait l’expérience de l’amour de Dieu qui le sauve, il n’a pas besoin de beaucoup de temps de préparation pour aller l’annoncer, il ne peut pas attendre d’avoir reçu beaucoup de leçons ou de longues instructions. Tout chrétien est missionnaire dans la mesure où il a rencontré l’amour de Dieu en Jésus Christ ; nous ne disons plus que nous sommes « disciples » et «</w:t>
      </w:r>
      <w:r w:rsidR="005C49A9">
        <w:rPr>
          <w:rFonts w:ascii="Gadugi" w:hAnsi="Gadugi"/>
          <w:sz w:val="26"/>
          <w:szCs w:val="26"/>
        </w:rPr>
        <w:t> </w:t>
      </w:r>
      <w:bookmarkStart w:id="0" w:name="_GoBack"/>
      <w:bookmarkEnd w:id="0"/>
      <w:r w:rsidRPr="00961931">
        <w:rPr>
          <w:rFonts w:ascii="Gadugi" w:hAnsi="Gadugi"/>
          <w:sz w:val="26"/>
          <w:szCs w:val="26"/>
        </w:rPr>
        <w:t>missionnaires</w:t>
      </w:r>
      <w:r w:rsidR="00961931">
        <w:rPr>
          <w:rFonts w:ascii="Gadugi" w:hAnsi="Gadugi"/>
          <w:sz w:val="26"/>
          <w:szCs w:val="26"/>
        </w:rPr>
        <w:t> </w:t>
      </w:r>
      <w:r w:rsidRPr="00961931">
        <w:rPr>
          <w:rFonts w:ascii="Gadugi" w:hAnsi="Gadugi"/>
          <w:sz w:val="26"/>
          <w:szCs w:val="26"/>
        </w:rPr>
        <w:t>», mais toujours que nous sommes « disciples-missionnaires ». Si nous n’en sommes pas convaincus, regardons les premiers disciples, qui immédiatement, après avoir reconnu le regard de Jésus, allèrent proclamer pleins de joie : « Nous avons trouvé le Messie » (</w:t>
      </w:r>
      <w:proofErr w:type="spellStart"/>
      <w:r w:rsidRPr="00961931">
        <w:rPr>
          <w:rFonts w:ascii="Gadugi" w:hAnsi="Gadugi"/>
          <w:sz w:val="26"/>
          <w:szCs w:val="26"/>
        </w:rPr>
        <w:t>Jn</w:t>
      </w:r>
      <w:proofErr w:type="spellEnd"/>
      <w:r w:rsidRPr="00961931">
        <w:rPr>
          <w:rFonts w:ascii="Gadugi" w:hAnsi="Gadugi"/>
          <w:sz w:val="26"/>
          <w:szCs w:val="26"/>
        </w:rPr>
        <w:t xml:space="preserve"> 1, 41). La samaritaine, à peine eut-elle fini son dialogue avec Jésus, devint missionnaire, et beaucoup de samaritains crurent en Jésus « à cause de la parole de la femme » (</w:t>
      </w:r>
      <w:proofErr w:type="spellStart"/>
      <w:r w:rsidRPr="00961931">
        <w:rPr>
          <w:rFonts w:ascii="Gadugi" w:hAnsi="Gadugi"/>
          <w:sz w:val="26"/>
          <w:szCs w:val="26"/>
        </w:rPr>
        <w:t>Jn</w:t>
      </w:r>
      <w:proofErr w:type="spellEnd"/>
      <w:r w:rsidRPr="00961931">
        <w:rPr>
          <w:rFonts w:ascii="Gadugi" w:hAnsi="Gadugi"/>
          <w:sz w:val="26"/>
          <w:szCs w:val="26"/>
        </w:rPr>
        <w:t xml:space="preserve"> 4, 39). Saint Paul aussi, à partir de sa rencontre avec Jésus Christ, « aussitôt se mit à prêcher Jésus</w:t>
      </w:r>
      <w:r w:rsidR="00961931">
        <w:rPr>
          <w:rFonts w:ascii="Gadugi" w:hAnsi="Gadugi"/>
          <w:sz w:val="26"/>
          <w:szCs w:val="26"/>
        </w:rPr>
        <w:t> </w:t>
      </w:r>
      <w:r w:rsidRPr="00961931">
        <w:rPr>
          <w:rFonts w:ascii="Gadugi" w:hAnsi="Gadugi"/>
          <w:sz w:val="26"/>
          <w:szCs w:val="26"/>
        </w:rPr>
        <w:t>» (</w:t>
      </w:r>
      <w:proofErr w:type="spellStart"/>
      <w:r w:rsidRPr="00961931">
        <w:rPr>
          <w:rFonts w:ascii="Gadugi" w:hAnsi="Gadugi"/>
          <w:sz w:val="26"/>
          <w:szCs w:val="26"/>
        </w:rPr>
        <w:t>Ac</w:t>
      </w:r>
      <w:proofErr w:type="spellEnd"/>
      <w:r w:rsidRPr="00961931">
        <w:rPr>
          <w:rFonts w:ascii="Gadugi" w:hAnsi="Gadugi"/>
          <w:sz w:val="26"/>
          <w:szCs w:val="26"/>
        </w:rPr>
        <w:t xml:space="preserve"> 9, 20). Et nous, qu’attendons-nous ? </w:t>
      </w:r>
    </w:p>
    <w:sectPr w:rsidR="000A632A" w:rsidRPr="00961931" w:rsidSect="00961931">
      <w:footerReference w:type="default" r:id="rId6"/>
      <w:pgSz w:w="11906" w:h="16838" w:code="9"/>
      <w:pgMar w:top="720" w:right="851" w:bottom="720"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5FDB" w14:textId="77777777" w:rsidR="00961931" w:rsidRDefault="00961931" w:rsidP="00961931">
      <w:pPr>
        <w:spacing w:after="0" w:line="240" w:lineRule="auto"/>
      </w:pPr>
      <w:r>
        <w:separator/>
      </w:r>
    </w:p>
  </w:endnote>
  <w:endnote w:type="continuationSeparator" w:id="0">
    <w:p w14:paraId="502B2DC9" w14:textId="77777777" w:rsidR="00961931" w:rsidRDefault="00961931" w:rsidP="0096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FF60" w14:textId="1C00AC4D" w:rsidR="00961931" w:rsidRDefault="00961931" w:rsidP="00961931">
    <w:pPr>
      <w:widowControl w:val="0"/>
      <w:pBdr>
        <w:top w:val="single" w:sz="4" w:space="1" w:color="auto"/>
      </w:pBdr>
      <w:tabs>
        <w:tab w:val="center" w:pos="4454"/>
      </w:tabs>
      <w:spacing w:after="0" w:line="240" w:lineRule="auto"/>
      <w:rPr>
        <w:rFonts w:ascii="Calibri Light" w:eastAsia="Times New Roman" w:hAnsi="Calibri Light" w:cs="Calibri Light"/>
        <w:b/>
        <w:bCs/>
        <w:color w:val="000000"/>
        <w:kern w:val="28"/>
        <w:sz w:val="20"/>
        <w:szCs w:val="20"/>
        <w:lang w:eastAsia="fr-FR"/>
        <w14:cntxtAlts/>
      </w:rPr>
    </w:pPr>
    <w:r>
      <w:rPr>
        <w:rFonts w:ascii="Calibri Light" w:eastAsia="Times New Roman" w:hAnsi="Calibri Light" w:cs="Calibri Light"/>
        <w:color w:val="000000"/>
        <w:kern w:val="28"/>
        <w:sz w:val="20"/>
        <w:szCs w:val="20"/>
        <w:lang w:eastAsia="fr-FR"/>
        <w14:cntxtAlts/>
      </w:rPr>
      <w:t xml:space="preserve">Institut Sœurs de St Joseph 07 St </w:t>
    </w:r>
    <w:proofErr w:type="spellStart"/>
    <w:r>
      <w:rPr>
        <w:rFonts w:ascii="Calibri Light" w:eastAsia="Times New Roman" w:hAnsi="Calibri Light" w:cs="Calibri Light"/>
        <w:color w:val="000000"/>
        <w:kern w:val="28"/>
        <w:sz w:val="20"/>
        <w:szCs w:val="20"/>
        <w:lang w:eastAsia="fr-FR"/>
        <w14:cntxtAlts/>
      </w:rPr>
      <w:t>Péray</w:t>
    </w:r>
    <w:proofErr w:type="spellEnd"/>
    <w:r>
      <w:rPr>
        <w:rFonts w:ascii="Calibri Light" w:eastAsia="Times New Roman" w:hAnsi="Calibri Light" w:cs="Calibri Light"/>
        <w:color w:val="000000"/>
        <w:kern w:val="28"/>
        <w:sz w:val="20"/>
        <w:szCs w:val="20"/>
        <w:lang w:eastAsia="fr-FR"/>
        <w14:cntxtAlts/>
      </w:rPr>
      <w:tab/>
      <w:t xml:space="preserve">                                 </w:t>
    </w:r>
    <w:r>
      <w:rPr>
        <w:rFonts w:ascii="Times New Roman" w:eastAsia="Times New Roman" w:hAnsi="Times New Roman" w:cs="Times New Roman"/>
        <w:color w:val="000000"/>
        <w:kern w:val="28"/>
        <w:sz w:val="20"/>
        <w:szCs w:val="20"/>
        <w:lang w:eastAsia="fr-FR"/>
        <w14:ligatures w14:val="standard"/>
        <w14:cntxtAlts/>
      </w:rPr>
      <w:fldChar w:fldCharType="begin"/>
    </w:r>
    <w:r>
      <w:rPr>
        <w:rFonts w:ascii="Times New Roman" w:eastAsia="Times New Roman" w:hAnsi="Times New Roman" w:cs="Times New Roman"/>
        <w:color w:val="000000"/>
        <w:kern w:val="28"/>
        <w:sz w:val="20"/>
        <w:szCs w:val="20"/>
        <w:lang w:eastAsia="fr-FR"/>
        <w14:ligatures w14:val="standard"/>
        <w14:cntxtAlts/>
      </w:rPr>
      <w:instrText>Page</w:instrText>
    </w:r>
    <w:r>
      <w:rPr>
        <w:rFonts w:ascii="Times New Roman" w:eastAsia="Times New Roman" w:hAnsi="Times New Roman" w:cs="Times New Roman"/>
        <w:color w:val="000000"/>
        <w:kern w:val="28"/>
        <w:sz w:val="20"/>
        <w:szCs w:val="20"/>
        <w:lang w:eastAsia="fr-FR"/>
        <w14:ligatures w14:val="standard"/>
        <w14:cntxtAlts/>
      </w:rPr>
      <w:fldChar w:fldCharType="separate"/>
    </w:r>
    <w:r>
      <w:rPr>
        <w:rFonts w:ascii="Times New Roman" w:eastAsia="Times New Roman" w:hAnsi="Times New Roman" w:cs="Times New Roman"/>
        <w:color w:val="000000"/>
        <w:kern w:val="28"/>
        <w:sz w:val="20"/>
        <w:szCs w:val="20"/>
        <w:lang w:eastAsia="fr-FR"/>
        <w14:ligatures w14:val="standard"/>
        <w14:cntxtAlts/>
      </w:rPr>
      <w:t>1</w:t>
    </w:r>
    <w:r>
      <w:rPr>
        <w:rFonts w:ascii="Calibri Light" w:eastAsia="Times New Roman" w:hAnsi="Calibri Light" w:cs="Calibri Light"/>
        <w:color w:val="000000"/>
        <w:kern w:val="28"/>
        <w:sz w:val="20"/>
        <w:szCs w:val="20"/>
        <w:lang w:eastAsia="fr-FR"/>
        <w14:cntxtAlts/>
      </w:rPr>
      <w:fldChar w:fldCharType="end"/>
    </w:r>
    <w:r>
      <w:rPr>
        <w:rFonts w:ascii="Calibri Light" w:eastAsia="Times New Roman" w:hAnsi="Calibri Light" w:cs="Calibri Light"/>
        <w:color w:val="000000"/>
        <w:kern w:val="28"/>
        <w:sz w:val="20"/>
        <w:szCs w:val="20"/>
        <w:lang w:eastAsia="fr-FR"/>
        <w14:cntxtAlts/>
      </w:rPr>
      <w:tab/>
      <w:t xml:space="preserve">     </w:t>
    </w:r>
    <w:r>
      <w:rPr>
        <w:rFonts w:ascii="Calibri Light" w:eastAsia="Times New Roman" w:hAnsi="Calibri Light" w:cs="Calibri Light"/>
        <w:color w:val="000000"/>
        <w:kern w:val="28"/>
        <w:sz w:val="20"/>
        <w:szCs w:val="20"/>
        <w:lang w:eastAsia="fr-FR"/>
        <w14:cntxtAlts/>
      </w:rPr>
      <w:tab/>
    </w:r>
    <w:r>
      <w:rPr>
        <w:rFonts w:ascii="Calibri Light" w:eastAsia="Times New Roman" w:hAnsi="Calibri Light" w:cs="Calibri Light"/>
        <w:color w:val="000000"/>
        <w:kern w:val="28"/>
        <w:sz w:val="20"/>
        <w:szCs w:val="20"/>
        <w:lang w:eastAsia="fr-FR"/>
        <w14:cntxtAlts/>
      </w:rPr>
      <w:tab/>
      <w:t xml:space="preserve">    </w:t>
    </w:r>
    <w:r>
      <w:rPr>
        <w:rFonts w:ascii="Calibri Light" w:eastAsia="Times New Roman" w:hAnsi="Calibri Light" w:cs="Calibri Light"/>
        <w:color w:val="000000"/>
        <w:kern w:val="28"/>
        <w:sz w:val="20"/>
        <w:szCs w:val="20"/>
        <w:lang w:eastAsia="fr-FR"/>
        <w14:cntxtAlts/>
      </w:rPr>
      <w:tab/>
      <w:t xml:space="preserve">                </w:t>
    </w:r>
    <w:r>
      <w:rPr>
        <w:rFonts w:ascii="Calibri Light" w:eastAsia="Times New Roman" w:hAnsi="Calibri Light" w:cs="Calibri Light"/>
        <w:b/>
        <w:bCs/>
        <w:color w:val="000000"/>
        <w:kern w:val="28"/>
        <w:sz w:val="20"/>
        <w:szCs w:val="20"/>
        <w:lang w:eastAsia="fr-FR"/>
        <w14:cntxtAlts/>
      </w:rPr>
      <w:t>Travail d’année 2022</w:t>
    </w:r>
  </w:p>
  <w:p w14:paraId="4E28E1F6" w14:textId="77777777" w:rsidR="00961931" w:rsidRDefault="00961931" w:rsidP="00961931">
    <w:pPr>
      <w:widowControl w:val="0"/>
      <w:tabs>
        <w:tab w:val="center" w:pos="4454"/>
        <w:tab w:val="right" w:pos="10155"/>
      </w:tabs>
      <w:spacing w:after="0" w:line="240" w:lineRule="auto"/>
      <w:jc w:val="right"/>
    </w:pPr>
    <w:r>
      <w:rPr>
        <w:rFonts w:ascii="Calibri Light" w:eastAsia="Times New Roman" w:hAnsi="Calibri Light" w:cs="Calibri Light"/>
        <w:b/>
        <w:bCs/>
        <w:color w:val="000000"/>
        <w:kern w:val="28"/>
        <w:sz w:val="20"/>
        <w:szCs w:val="20"/>
        <w:lang w:eastAsia="fr-FR"/>
        <w14:cntxtAlts/>
      </w:rPr>
      <w:t>De Pâques à Pentecôte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3081C" w14:textId="77777777" w:rsidR="00961931" w:rsidRDefault="00961931" w:rsidP="00961931">
      <w:pPr>
        <w:spacing w:after="0" w:line="240" w:lineRule="auto"/>
      </w:pPr>
      <w:r>
        <w:separator/>
      </w:r>
    </w:p>
  </w:footnote>
  <w:footnote w:type="continuationSeparator" w:id="0">
    <w:p w14:paraId="46049EE3" w14:textId="77777777" w:rsidR="00961931" w:rsidRDefault="00961931" w:rsidP="00961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3F"/>
    <w:rsid w:val="000A632A"/>
    <w:rsid w:val="00266A3F"/>
    <w:rsid w:val="005C49A9"/>
    <w:rsid w:val="00652673"/>
    <w:rsid w:val="00961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573E"/>
  <w15:chartTrackingRefBased/>
  <w15:docId w15:val="{49519B72-E53E-4C2C-854A-200BBD40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1931"/>
    <w:pPr>
      <w:tabs>
        <w:tab w:val="center" w:pos="4536"/>
        <w:tab w:val="right" w:pos="9072"/>
      </w:tabs>
      <w:spacing w:after="0" w:line="240" w:lineRule="auto"/>
    </w:pPr>
  </w:style>
  <w:style w:type="character" w:customStyle="1" w:styleId="En-tteCar">
    <w:name w:val="En-tête Car"/>
    <w:basedOn w:val="Policepardfaut"/>
    <w:link w:val="En-tte"/>
    <w:uiPriority w:val="99"/>
    <w:rsid w:val="00961931"/>
  </w:style>
  <w:style w:type="paragraph" w:styleId="Pieddepage">
    <w:name w:val="footer"/>
    <w:basedOn w:val="Normal"/>
    <w:link w:val="PieddepageCar"/>
    <w:uiPriority w:val="99"/>
    <w:unhideWhenUsed/>
    <w:rsid w:val="009619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2202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Secretariat</cp:lastModifiedBy>
  <cp:revision>5</cp:revision>
  <cp:lastPrinted>2022-03-21T10:16:00Z</cp:lastPrinted>
  <dcterms:created xsi:type="dcterms:W3CDTF">2022-01-20T14:35:00Z</dcterms:created>
  <dcterms:modified xsi:type="dcterms:W3CDTF">2022-04-08T07:57:00Z</dcterms:modified>
</cp:coreProperties>
</file>